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5CDA8" w14:textId="77777777" w:rsidR="00C6575E" w:rsidRDefault="0052620E">
      <w:pPr>
        <w:jc w:val="center"/>
        <w:rPr>
          <w:rFonts w:ascii="Calibri" w:eastAsia="Times New Roman" w:hAnsi="Calibri" w:cs="Times New Roman"/>
          <w:sz w:val="28"/>
          <w:szCs w:val="28"/>
        </w:rPr>
      </w:pPr>
      <w:r>
        <w:rPr>
          <w:rFonts w:ascii="Calibri" w:eastAsia="Times New Roman" w:hAnsi="Calibri" w:cs="Times New Roman"/>
          <w:b/>
          <w:sz w:val="28"/>
          <w:szCs w:val="28"/>
        </w:rPr>
        <w:t>Agenda Algemeen Bestuur</w:t>
      </w:r>
    </w:p>
    <w:tbl>
      <w:tblPr>
        <w:tblStyle w:val="Tabelraster"/>
        <w:tblW w:w="9080" w:type="dxa"/>
        <w:tblBorders>
          <w:top w:val="nil"/>
          <w:left w:val="nil"/>
          <w:bottom w:val="nil"/>
          <w:right w:val="nil"/>
          <w:insideH w:val="nil"/>
          <w:insideV w:val="nil"/>
        </w:tblBorders>
        <w:tblLayout w:type="fixed"/>
        <w:tblLook w:val="04A0" w:firstRow="1" w:lastRow="0" w:firstColumn="1" w:lastColumn="0" w:noHBand="0" w:noVBand="1"/>
      </w:tblPr>
      <w:tblGrid>
        <w:gridCol w:w="1604"/>
        <w:gridCol w:w="7476"/>
      </w:tblGrid>
      <w:tr w:rsidR="00C6575E" w14:paraId="606A14AD" w14:textId="77777777">
        <w:tc>
          <w:tcPr>
            <w:tcW w:w="1604" w:type="dxa"/>
            <w:tcMar>
              <w:left w:w="0" w:type="dxa"/>
              <w:right w:w="0" w:type="dxa"/>
            </w:tcMar>
          </w:tcPr>
          <w:p w14:paraId="767F52D6" w14:textId="77777777" w:rsidR="00C6575E" w:rsidRDefault="0052620E">
            <w:pPr>
              <w:rPr>
                <w:rFonts w:ascii="Calibri" w:eastAsia="Times New Roman" w:hAnsi="Calibri" w:cs="Times New Roman"/>
              </w:rPr>
            </w:pPr>
            <w:r>
              <w:rPr>
                <w:rFonts w:ascii="Calibri" w:eastAsia="Times New Roman" w:hAnsi="Calibri" w:cs="Times New Roman"/>
                <w:b/>
              </w:rPr>
              <w:t>Datum</w:t>
            </w:r>
          </w:p>
        </w:tc>
        <w:tc>
          <w:tcPr>
            <w:tcW w:w="7476" w:type="dxa"/>
            <w:tcMar>
              <w:left w:w="0" w:type="dxa"/>
              <w:right w:w="0" w:type="dxa"/>
            </w:tcMar>
          </w:tcPr>
          <w:p w14:paraId="0D99CD6A" w14:textId="77777777" w:rsidR="00C6575E" w:rsidRDefault="0052620E">
            <w:pPr>
              <w:rPr>
                <w:rFonts w:ascii="Calibri" w:eastAsia="Times New Roman" w:hAnsi="Calibri" w:cs="Times New Roman"/>
              </w:rPr>
            </w:pPr>
            <w:r>
              <w:rPr>
                <w:rFonts w:ascii="Calibri" w:eastAsia="Times New Roman" w:hAnsi="Calibri" w:cs="Times New Roman"/>
              </w:rPr>
              <w:t>02-07-2025</w:t>
            </w:r>
          </w:p>
        </w:tc>
      </w:tr>
      <w:tr w:rsidR="00C6575E" w14:paraId="385035EF" w14:textId="77777777">
        <w:tc>
          <w:tcPr>
            <w:tcW w:w="1604" w:type="dxa"/>
            <w:tcMar>
              <w:left w:w="0" w:type="dxa"/>
              <w:right w:w="0" w:type="dxa"/>
            </w:tcMar>
          </w:tcPr>
          <w:p w14:paraId="60A82163" w14:textId="77777777" w:rsidR="00C6575E" w:rsidRDefault="0052620E">
            <w:pPr>
              <w:rPr>
                <w:rFonts w:ascii="Calibri" w:eastAsia="Times New Roman" w:hAnsi="Calibri" w:cs="Times New Roman"/>
              </w:rPr>
            </w:pPr>
            <w:r>
              <w:rPr>
                <w:rFonts w:ascii="Calibri" w:eastAsia="Times New Roman" w:hAnsi="Calibri" w:cs="Times New Roman"/>
                <w:b/>
              </w:rPr>
              <w:t>Tijd</w:t>
            </w:r>
          </w:p>
        </w:tc>
        <w:tc>
          <w:tcPr>
            <w:tcW w:w="7476" w:type="dxa"/>
            <w:tcMar>
              <w:left w:w="0" w:type="dxa"/>
              <w:right w:w="0" w:type="dxa"/>
            </w:tcMar>
          </w:tcPr>
          <w:p w14:paraId="2D15CC6D" w14:textId="77777777" w:rsidR="00C6575E" w:rsidRDefault="0052620E">
            <w:pPr>
              <w:rPr>
                <w:rFonts w:ascii="Calibri" w:eastAsia="Times New Roman" w:hAnsi="Calibri" w:cs="Times New Roman"/>
              </w:rPr>
            </w:pPr>
            <w:r>
              <w:rPr>
                <w:rFonts w:ascii="Calibri" w:eastAsia="Times New Roman" w:hAnsi="Calibri" w:cs="Times New Roman"/>
              </w:rPr>
              <w:t>10:00 - 11:30</w:t>
            </w:r>
          </w:p>
        </w:tc>
      </w:tr>
      <w:tr w:rsidR="00C6575E" w14:paraId="65704ABE" w14:textId="77777777">
        <w:tc>
          <w:tcPr>
            <w:tcW w:w="1604" w:type="dxa"/>
            <w:tcMar>
              <w:left w:w="0" w:type="dxa"/>
              <w:right w:w="0" w:type="dxa"/>
            </w:tcMar>
          </w:tcPr>
          <w:p w14:paraId="7831DE79" w14:textId="77777777" w:rsidR="00C6575E" w:rsidRDefault="0052620E">
            <w:pPr>
              <w:rPr>
                <w:rFonts w:ascii="Calibri" w:eastAsia="Times New Roman" w:hAnsi="Calibri" w:cs="Times New Roman"/>
              </w:rPr>
            </w:pPr>
            <w:r>
              <w:rPr>
                <w:rFonts w:ascii="Calibri" w:eastAsia="Times New Roman" w:hAnsi="Calibri" w:cs="Times New Roman"/>
                <w:b/>
              </w:rPr>
              <w:t>Locatie</w:t>
            </w:r>
          </w:p>
        </w:tc>
        <w:tc>
          <w:tcPr>
            <w:tcW w:w="7476" w:type="dxa"/>
            <w:tcMar>
              <w:left w:w="0" w:type="dxa"/>
              <w:right w:w="0" w:type="dxa"/>
            </w:tcMar>
          </w:tcPr>
          <w:p w14:paraId="2C30C131" w14:textId="77777777" w:rsidR="00C6575E" w:rsidRDefault="0052620E">
            <w:pPr>
              <w:rPr>
                <w:rFonts w:ascii="Calibri" w:eastAsia="Times New Roman" w:hAnsi="Calibri" w:cs="Times New Roman"/>
              </w:rPr>
            </w:pPr>
            <w:r>
              <w:rPr>
                <w:rFonts w:ascii="Calibri" w:eastAsia="Times New Roman" w:hAnsi="Calibri" w:cs="Times New Roman"/>
              </w:rPr>
              <w:t>De StecK (Raadhuisstraat 25, 7001 EX DOETINCHEM)</w:t>
            </w:r>
          </w:p>
        </w:tc>
      </w:tr>
      <w:tr w:rsidR="00C6575E" w14:paraId="647A9A42" w14:textId="77777777">
        <w:tc>
          <w:tcPr>
            <w:tcW w:w="1604" w:type="dxa"/>
            <w:tcMar>
              <w:left w:w="0" w:type="dxa"/>
              <w:right w:w="0" w:type="dxa"/>
            </w:tcMar>
          </w:tcPr>
          <w:p w14:paraId="1FF041FA" w14:textId="77777777" w:rsidR="00C6575E" w:rsidRDefault="0052620E">
            <w:pPr>
              <w:rPr>
                <w:rFonts w:ascii="Calibri" w:eastAsia="Times New Roman" w:hAnsi="Calibri" w:cs="Times New Roman"/>
              </w:rPr>
            </w:pPr>
            <w:r>
              <w:rPr>
                <w:rFonts w:ascii="Calibri" w:eastAsia="Times New Roman" w:hAnsi="Calibri" w:cs="Times New Roman"/>
                <w:b/>
              </w:rPr>
              <w:t>Voorzitter</w:t>
            </w:r>
          </w:p>
        </w:tc>
        <w:tc>
          <w:tcPr>
            <w:tcW w:w="7476" w:type="dxa"/>
            <w:tcMar>
              <w:left w:w="0" w:type="dxa"/>
              <w:right w:w="0" w:type="dxa"/>
            </w:tcMar>
          </w:tcPr>
          <w:p w14:paraId="5F1FDD53" w14:textId="77777777" w:rsidR="00C6575E" w:rsidRDefault="0052620E">
            <w:pPr>
              <w:rPr>
                <w:rFonts w:ascii="Calibri" w:eastAsia="Times New Roman" w:hAnsi="Calibri" w:cs="Times New Roman"/>
              </w:rPr>
            </w:pPr>
            <w:r>
              <w:rPr>
                <w:rFonts w:ascii="Calibri" w:eastAsia="Times New Roman" w:hAnsi="Calibri" w:cs="Times New Roman"/>
              </w:rPr>
              <w:t>Joris Bengevoord</w:t>
            </w:r>
          </w:p>
        </w:tc>
      </w:tr>
    </w:tbl>
    <w:p w14:paraId="4E7CBF66" w14:textId="77777777" w:rsidR="00C6575E" w:rsidRDefault="00C6575E">
      <w:pPr>
        <w:rPr>
          <w:rFonts w:ascii="Calibri" w:eastAsia="Times New Roman" w:hAnsi="Calibri" w:cs="Times New Roman"/>
          <w:sz w:val="18"/>
          <w:szCs w:val="18"/>
        </w:rPr>
      </w:pPr>
    </w:p>
    <w:tbl>
      <w:tblPr>
        <w:tblStyle w:val="Tabelraster"/>
        <w:tblW w:w="9080" w:type="dxa"/>
        <w:tblBorders>
          <w:top w:val="nil"/>
          <w:left w:val="nil"/>
          <w:bottom w:val="nil"/>
          <w:right w:val="nil"/>
          <w:insideH w:val="nil"/>
          <w:insideV w:val="nil"/>
        </w:tblBorders>
        <w:tblLayout w:type="fixed"/>
        <w:tblLook w:val="04A0" w:firstRow="1" w:lastRow="0" w:firstColumn="1" w:lastColumn="0" w:noHBand="0" w:noVBand="1"/>
      </w:tblPr>
      <w:tblGrid>
        <w:gridCol w:w="1124"/>
        <w:gridCol w:w="7956"/>
      </w:tblGrid>
      <w:tr w:rsidR="00C6575E" w14:paraId="2B3C1CDC" w14:textId="77777777">
        <w:tc>
          <w:tcPr>
            <w:tcW w:w="1124" w:type="dxa"/>
            <w:shd w:val="clear" w:color="auto" w:fill="E7E6E6" w:themeFill="background2"/>
          </w:tcPr>
          <w:p w14:paraId="22C79BB3" w14:textId="77777777" w:rsidR="00C6575E" w:rsidRDefault="00C6575E">
            <w:pPr>
              <w:rPr>
                <w:rFonts w:ascii="Calibri" w:eastAsia="Times New Roman" w:hAnsi="Calibri" w:cs="Times New Roman"/>
              </w:rPr>
            </w:pPr>
          </w:p>
        </w:tc>
        <w:tc>
          <w:tcPr>
            <w:tcW w:w="7956" w:type="dxa"/>
            <w:shd w:val="clear" w:color="auto" w:fill="E7E6E6" w:themeFill="background2"/>
          </w:tcPr>
          <w:p w14:paraId="5EACEE3A" w14:textId="77777777" w:rsidR="00C6575E" w:rsidRDefault="00C6575E">
            <w:pPr>
              <w:rPr>
                <w:rFonts w:ascii="Calibri" w:eastAsia="Times New Roman" w:hAnsi="Calibri" w:cs="Times New Roman"/>
              </w:rPr>
            </w:pPr>
          </w:p>
        </w:tc>
      </w:tr>
      <w:tr w:rsidR="00C6575E" w14:paraId="0DFBD282" w14:textId="77777777">
        <w:tc>
          <w:tcPr>
            <w:tcW w:w="1124" w:type="dxa"/>
          </w:tcPr>
          <w:p w14:paraId="3C2BEC14" w14:textId="77777777" w:rsidR="00C6575E" w:rsidRDefault="0052620E">
            <w:pPr>
              <w:rPr>
                <w:rFonts w:ascii="Calibri" w:eastAsia="Times New Roman" w:hAnsi="Calibri" w:cs="Times New Roman"/>
              </w:rPr>
            </w:pPr>
            <w:r>
              <w:rPr>
                <w:rFonts w:ascii="Calibri" w:eastAsia="Times New Roman" w:hAnsi="Calibri" w:cs="Times New Roman"/>
                <w:b/>
              </w:rPr>
              <w:t>1</w:t>
            </w:r>
          </w:p>
          <w:p w14:paraId="7C0C9207" w14:textId="77777777" w:rsidR="00C6575E" w:rsidRDefault="00C6575E">
            <w:pPr>
              <w:rPr>
                <w:rFonts w:ascii="Calibri" w:eastAsia="Times New Roman" w:hAnsi="Calibri" w:cs="Times New Roman"/>
                <w:sz w:val="18"/>
                <w:szCs w:val="18"/>
              </w:rPr>
            </w:pPr>
          </w:p>
        </w:tc>
        <w:tc>
          <w:tcPr>
            <w:tcW w:w="7956" w:type="dxa"/>
          </w:tcPr>
          <w:p w14:paraId="094B23C9" w14:textId="77777777" w:rsidR="00C6575E" w:rsidRDefault="0052620E">
            <w:pPr>
              <w:rPr>
                <w:rFonts w:ascii="Calibri" w:eastAsia="Times New Roman" w:hAnsi="Calibri" w:cs="Times New Roman"/>
              </w:rPr>
            </w:pPr>
            <w:r>
              <w:rPr>
                <w:rFonts w:ascii="Calibri" w:eastAsia="Times New Roman" w:hAnsi="Calibri" w:cs="Times New Roman"/>
                <w:b/>
              </w:rPr>
              <w:t>Opening en mededelingen</w:t>
            </w:r>
          </w:p>
          <w:p w14:paraId="22A898A2" w14:textId="77777777" w:rsidR="00C6575E" w:rsidRDefault="0052620E">
            <w:pPr>
              <w:divId w:val="149473345"/>
            </w:pPr>
            <w:r>
              <w:rPr>
                <w:rFonts w:ascii="Calibri" w:hAnsi="Calibri" w:cs="Calibri"/>
              </w:rPr>
              <w:t>M. Boumans is verhinderd.</w:t>
            </w:r>
          </w:p>
          <w:p w14:paraId="38F444AF" w14:textId="77777777" w:rsidR="00C6575E" w:rsidRDefault="00C6575E">
            <w:pPr>
              <w:rPr>
                <w:rFonts w:ascii="Calibri" w:eastAsia="Times New Roman" w:hAnsi="Calibri" w:cs="Times New Roman"/>
                <w:sz w:val="18"/>
                <w:szCs w:val="18"/>
              </w:rPr>
            </w:pPr>
          </w:p>
        </w:tc>
      </w:tr>
      <w:tr w:rsidR="00C6575E" w14:paraId="5580B875" w14:textId="77777777">
        <w:tc>
          <w:tcPr>
            <w:tcW w:w="1124" w:type="dxa"/>
          </w:tcPr>
          <w:p w14:paraId="10C76C0B" w14:textId="77777777" w:rsidR="00C6575E" w:rsidRDefault="0052620E">
            <w:pPr>
              <w:rPr>
                <w:rFonts w:ascii="Calibri" w:eastAsia="Times New Roman" w:hAnsi="Calibri" w:cs="Times New Roman"/>
              </w:rPr>
            </w:pPr>
            <w:r>
              <w:rPr>
                <w:rFonts w:ascii="Calibri" w:eastAsia="Times New Roman" w:hAnsi="Calibri" w:cs="Times New Roman"/>
                <w:b/>
              </w:rPr>
              <w:t>2</w:t>
            </w:r>
          </w:p>
          <w:p w14:paraId="4D8898EB" w14:textId="77777777" w:rsidR="00C6575E" w:rsidRDefault="00C6575E">
            <w:pPr>
              <w:rPr>
                <w:rFonts w:ascii="Calibri" w:eastAsia="Times New Roman" w:hAnsi="Calibri" w:cs="Times New Roman"/>
                <w:sz w:val="18"/>
                <w:szCs w:val="18"/>
              </w:rPr>
            </w:pPr>
          </w:p>
        </w:tc>
        <w:tc>
          <w:tcPr>
            <w:tcW w:w="7956" w:type="dxa"/>
          </w:tcPr>
          <w:p w14:paraId="0C5F4EAF" w14:textId="77777777" w:rsidR="00C6575E" w:rsidRDefault="0052620E">
            <w:pPr>
              <w:rPr>
                <w:rFonts w:ascii="Calibri" w:eastAsia="Times New Roman" w:hAnsi="Calibri" w:cs="Times New Roman"/>
              </w:rPr>
            </w:pPr>
            <w:r>
              <w:rPr>
                <w:rFonts w:ascii="Calibri" w:eastAsia="Times New Roman" w:hAnsi="Calibri" w:cs="Times New Roman"/>
                <w:b/>
              </w:rPr>
              <w:t>Lobby brussel</w:t>
            </w:r>
          </w:p>
          <w:p w14:paraId="3F5A44D9" w14:textId="77777777" w:rsidR="00C6575E" w:rsidRDefault="0052620E">
            <w:pPr>
              <w:divId w:val="1580534509"/>
            </w:pPr>
            <w:r>
              <w:rPr>
                <w:rFonts w:ascii="Calibri" w:hAnsi="Calibri" w:cs="Calibri"/>
              </w:rPr>
              <w:t xml:space="preserve">1. Kennisnemen van de eerste EU-kwartaalupdate door Publyon (zie bijlage </w:t>
            </w:r>
            <w:r>
              <w:rPr>
                <w:rStyle w:val="Nadruk"/>
                <w:rFonts w:ascii="Calibri" w:hAnsi="Calibri" w:cs="Calibri"/>
              </w:rPr>
              <w:t>EU update over circulaire landbouw</w:t>
            </w:r>
            <w:r>
              <w:rPr>
                <w:rFonts w:ascii="Calibri" w:hAnsi="Calibri" w:cs="Calibri"/>
              </w:rPr>
              <w:t>);</w:t>
            </w:r>
            <w:r>
              <w:rPr>
                <w:rFonts w:ascii="Calibri" w:hAnsi="Calibri" w:cs="Calibri"/>
              </w:rPr>
              <w:br/>
              <w:t xml:space="preserve">2. Kennisnemen van relevante ontwikkelingen op een aantal voor de regio Achterhoek dossiers (zie bijlage </w:t>
            </w:r>
            <w:r>
              <w:rPr>
                <w:rStyle w:val="Nadruk"/>
                <w:rFonts w:ascii="Calibri" w:hAnsi="Calibri" w:cs="Calibri"/>
              </w:rPr>
              <w:t>Waterweerbaarheidsstrategie</w:t>
            </w:r>
            <w:r>
              <w:rPr>
                <w:rFonts w:ascii="Calibri" w:hAnsi="Calibri" w:cs="Calibri"/>
              </w:rPr>
              <w:t>);</w:t>
            </w:r>
            <w:r>
              <w:rPr>
                <w:rFonts w:ascii="Calibri" w:hAnsi="Calibri" w:cs="Calibri"/>
              </w:rPr>
              <w:br/>
              <w:t>3. Terugkoppeling werkbezoek 8RHK, Oost NL en Tech.Land aan Brussel.</w:t>
            </w:r>
          </w:p>
          <w:p w14:paraId="0510184B" w14:textId="77777777" w:rsidR="00C6575E" w:rsidRDefault="00C6575E">
            <w:pPr>
              <w:rPr>
                <w:rFonts w:ascii="Calibri" w:eastAsia="Times New Roman" w:hAnsi="Calibri" w:cs="Times New Roman"/>
                <w:sz w:val="18"/>
                <w:szCs w:val="18"/>
              </w:rPr>
            </w:pPr>
          </w:p>
        </w:tc>
      </w:tr>
      <w:tr w:rsidR="00C6575E" w14:paraId="199F52B2" w14:textId="77777777">
        <w:tc>
          <w:tcPr>
            <w:tcW w:w="1124" w:type="dxa"/>
          </w:tcPr>
          <w:p w14:paraId="463137B8" w14:textId="77777777" w:rsidR="00C6575E" w:rsidRDefault="0052620E">
            <w:pPr>
              <w:rPr>
                <w:rFonts w:ascii="Calibri" w:eastAsia="Times New Roman" w:hAnsi="Calibri" w:cs="Times New Roman"/>
              </w:rPr>
            </w:pPr>
            <w:r>
              <w:rPr>
                <w:rFonts w:ascii="Calibri" w:eastAsia="Times New Roman" w:hAnsi="Calibri" w:cs="Times New Roman"/>
                <w:b/>
              </w:rPr>
              <w:t>3</w:t>
            </w:r>
          </w:p>
          <w:p w14:paraId="6933782A" w14:textId="77777777" w:rsidR="00C6575E" w:rsidRDefault="00C6575E">
            <w:pPr>
              <w:rPr>
                <w:rFonts w:ascii="Calibri" w:eastAsia="Times New Roman" w:hAnsi="Calibri" w:cs="Times New Roman"/>
                <w:sz w:val="18"/>
                <w:szCs w:val="18"/>
              </w:rPr>
            </w:pPr>
          </w:p>
        </w:tc>
        <w:tc>
          <w:tcPr>
            <w:tcW w:w="7956" w:type="dxa"/>
          </w:tcPr>
          <w:p w14:paraId="7695D9CB" w14:textId="77777777" w:rsidR="00C6575E" w:rsidRDefault="0052620E">
            <w:pPr>
              <w:rPr>
                <w:rFonts w:ascii="Calibri" w:eastAsia="Times New Roman" w:hAnsi="Calibri" w:cs="Times New Roman"/>
              </w:rPr>
            </w:pPr>
            <w:r>
              <w:rPr>
                <w:rFonts w:ascii="Calibri" w:eastAsia="Times New Roman" w:hAnsi="Calibri" w:cs="Times New Roman"/>
                <w:b/>
              </w:rPr>
              <w:t>Werving kwartiermaker Cultuur en Erfgoed Akkoord Achterhoek</w:t>
            </w:r>
          </w:p>
          <w:p w14:paraId="6DD12838" w14:textId="77777777" w:rsidR="00C6575E" w:rsidRDefault="0052620E">
            <w:pPr>
              <w:divId w:val="1751637753"/>
            </w:pPr>
            <w:r>
              <w:rPr>
                <w:rFonts w:ascii="Calibri" w:hAnsi="Calibri" w:cs="Calibri"/>
              </w:rPr>
              <w:t>1. Kennis te nemen van het Cultuur- en Erfgoed Akkoord Achterhoek</w:t>
            </w:r>
            <w:r>
              <w:rPr>
                <w:rFonts w:ascii="Calibri" w:hAnsi="Calibri" w:cs="Calibri"/>
              </w:rPr>
              <w:br/>
              <w:t>2. De kwartiermaker te positioneren bij 8RHK Ambassadeur en deze op te laten treden als werkgever namens de Achterhoekse gemeenten. Dit betreft een tijdelijke rol. De kwartiermaker wordt gefinancierd vanuit middelen van de Achterhoekse gemeenten en de Provincie Gelderland.</w:t>
            </w:r>
            <w:r>
              <w:rPr>
                <w:rFonts w:ascii="Calibri" w:hAnsi="Calibri" w:cs="Calibri"/>
              </w:rPr>
              <w:br/>
              <w:t>3. Akkoord te gaan met de werving van een kwartiermaker Cultuur en Erfgoed Akkoord Achterhoek voor een periode van ruim 2 jaar (01-09-2025 tot 31-12-2027)</w:t>
            </w:r>
          </w:p>
          <w:p w14:paraId="0C00E6B5" w14:textId="77777777" w:rsidR="00C6575E" w:rsidRDefault="00C6575E">
            <w:pPr>
              <w:rPr>
                <w:rFonts w:ascii="Calibri" w:eastAsia="Times New Roman" w:hAnsi="Calibri" w:cs="Times New Roman"/>
                <w:sz w:val="18"/>
                <w:szCs w:val="18"/>
              </w:rPr>
            </w:pPr>
          </w:p>
        </w:tc>
      </w:tr>
      <w:tr w:rsidR="00C6575E" w14:paraId="6D50D90A" w14:textId="77777777">
        <w:tc>
          <w:tcPr>
            <w:tcW w:w="1124" w:type="dxa"/>
          </w:tcPr>
          <w:p w14:paraId="10343F33" w14:textId="77777777" w:rsidR="00C6575E" w:rsidRDefault="0052620E">
            <w:pPr>
              <w:rPr>
                <w:rFonts w:ascii="Calibri" w:eastAsia="Times New Roman" w:hAnsi="Calibri" w:cs="Times New Roman"/>
              </w:rPr>
            </w:pPr>
            <w:r>
              <w:rPr>
                <w:rFonts w:ascii="Calibri" w:eastAsia="Times New Roman" w:hAnsi="Calibri" w:cs="Times New Roman"/>
                <w:b/>
              </w:rPr>
              <w:t>4</w:t>
            </w:r>
          </w:p>
          <w:p w14:paraId="3F693469" w14:textId="77777777" w:rsidR="00C6575E" w:rsidRDefault="00C6575E">
            <w:pPr>
              <w:rPr>
                <w:rFonts w:ascii="Calibri" w:eastAsia="Times New Roman" w:hAnsi="Calibri" w:cs="Times New Roman"/>
                <w:sz w:val="18"/>
                <w:szCs w:val="18"/>
              </w:rPr>
            </w:pPr>
          </w:p>
        </w:tc>
        <w:tc>
          <w:tcPr>
            <w:tcW w:w="7956" w:type="dxa"/>
          </w:tcPr>
          <w:p w14:paraId="420C726A" w14:textId="77777777" w:rsidR="00C6575E" w:rsidRDefault="0052620E">
            <w:pPr>
              <w:rPr>
                <w:rFonts w:ascii="Calibri" w:eastAsia="Times New Roman" w:hAnsi="Calibri" w:cs="Times New Roman"/>
              </w:rPr>
            </w:pPr>
            <w:r>
              <w:rPr>
                <w:rFonts w:ascii="Calibri" w:eastAsia="Times New Roman" w:hAnsi="Calibri" w:cs="Times New Roman"/>
                <w:b/>
              </w:rPr>
              <w:t>Jaarstukken 2024</w:t>
            </w:r>
          </w:p>
          <w:p w14:paraId="728E3747" w14:textId="77777777" w:rsidR="00C6575E" w:rsidRDefault="0052620E">
            <w:pPr>
              <w:divId w:val="430918763"/>
            </w:pPr>
            <w:r>
              <w:rPr>
                <w:rFonts w:ascii="Calibri" w:hAnsi="Calibri" w:cs="Calibri"/>
              </w:rPr>
              <w:t>1. Instemmen met de jaarstukken 2024;</w:t>
            </w:r>
            <w:r>
              <w:rPr>
                <w:rFonts w:ascii="Calibri" w:hAnsi="Calibri" w:cs="Calibri"/>
              </w:rPr>
              <w:br/>
              <w:t>2. Instemmen met het toevoegen van € 27.707 aan het investeringsfonds;</w:t>
            </w:r>
            <w:r>
              <w:rPr>
                <w:rFonts w:ascii="Calibri" w:hAnsi="Calibri" w:cs="Calibri"/>
              </w:rPr>
              <w:br/>
              <w:t xml:space="preserve">3. Het </w:t>
            </w:r>
            <w:r>
              <w:rPr>
                <w:rFonts w:ascii="Calibri" w:hAnsi="Calibri" w:cs="Calibri"/>
              </w:rPr>
              <w:t>accountantsverslag voor kennisgeving aan te nemen.</w:t>
            </w:r>
          </w:p>
          <w:p w14:paraId="54EB98C6" w14:textId="77777777" w:rsidR="00C6575E" w:rsidRDefault="00C6575E">
            <w:pPr>
              <w:rPr>
                <w:rFonts w:ascii="Calibri" w:eastAsia="Times New Roman" w:hAnsi="Calibri" w:cs="Times New Roman"/>
                <w:sz w:val="18"/>
                <w:szCs w:val="18"/>
              </w:rPr>
            </w:pPr>
          </w:p>
        </w:tc>
      </w:tr>
      <w:tr w:rsidR="00C6575E" w14:paraId="16B953A9" w14:textId="77777777">
        <w:tc>
          <w:tcPr>
            <w:tcW w:w="1124" w:type="dxa"/>
          </w:tcPr>
          <w:p w14:paraId="51A3512A" w14:textId="77777777" w:rsidR="00C6575E" w:rsidRDefault="0052620E">
            <w:pPr>
              <w:rPr>
                <w:rFonts w:ascii="Calibri" w:eastAsia="Times New Roman" w:hAnsi="Calibri" w:cs="Times New Roman"/>
              </w:rPr>
            </w:pPr>
            <w:r>
              <w:rPr>
                <w:rFonts w:ascii="Calibri" w:eastAsia="Times New Roman" w:hAnsi="Calibri" w:cs="Times New Roman"/>
                <w:b/>
              </w:rPr>
              <w:t>5</w:t>
            </w:r>
          </w:p>
          <w:p w14:paraId="016D8DE8" w14:textId="77777777" w:rsidR="00C6575E" w:rsidRDefault="00C6575E">
            <w:pPr>
              <w:rPr>
                <w:rFonts w:ascii="Calibri" w:eastAsia="Times New Roman" w:hAnsi="Calibri" w:cs="Times New Roman"/>
                <w:sz w:val="18"/>
                <w:szCs w:val="18"/>
              </w:rPr>
            </w:pPr>
          </w:p>
        </w:tc>
        <w:tc>
          <w:tcPr>
            <w:tcW w:w="7956" w:type="dxa"/>
          </w:tcPr>
          <w:p w14:paraId="62E9A1FF" w14:textId="77777777" w:rsidR="00C6575E" w:rsidRDefault="0052620E">
            <w:pPr>
              <w:rPr>
                <w:rFonts w:ascii="Calibri" w:eastAsia="Times New Roman" w:hAnsi="Calibri" w:cs="Times New Roman"/>
              </w:rPr>
            </w:pPr>
            <w:r>
              <w:rPr>
                <w:rFonts w:ascii="Calibri" w:eastAsia="Times New Roman" w:hAnsi="Calibri" w:cs="Times New Roman"/>
                <w:b/>
              </w:rPr>
              <w:t>Bestuursrapportage januari – april 2025 en 1e verzamelwijziging 2025</w:t>
            </w:r>
          </w:p>
          <w:p w14:paraId="37F88DA1" w14:textId="77777777" w:rsidR="00C6575E" w:rsidRDefault="0052620E">
            <w:pPr>
              <w:divId w:val="1768420625"/>
            </w:pPr>
            <w:r>
              <w:rPr>
                <w:rFonts w:ascii="Calibri" w:hAnsi="Calibri" w:cs="Calibri"/>
              </w:rPr>
              <w:t>1. Kennisnemen van de bestuurs- en budgetrapportage januari tot en met april 2025.</w:t>
            </w:r>
            <w:r>
              <w:rPr>
                <w:rFonts w:ascii="Calibri" w:hAnsi="Calibri" w:cs="Calibri"/>
              </w:rPr>
              <w:br/>
              <w:t xml:space="preserve">2. In stemmen met de 1e (budgettair </w:t>
            </w:r>
            <w:r>
              <w:rPr>
                <w:rFonts w:ascii="Calibri" w:hAnsi="Calibri" w:cs="Calibri"/>
              </w:rPr>
              <w:t>neutrale) verzamelwijziging 2025.</w:t>
            </w:r>
          </w:p>
          <w:p w14:paraId="555E1E32" w14:textId="77777777" w:rsidR="00C6575E" w:rsidRDefault="00C6575E">
            <w:pPr>
              <w:rPr>
                <w:rFonts w:ascii="Calibri" w:eastAsia="Times New Roman" w:hAnsi="Calibri" w:cs="Times New Roman"/>
                <w:sz w:val="18"/>
                <w:szCs w:val="18"/>
              </w:rPr>
            </w:pPr>
          </w:p>
        </w:tc>
      </w:tr>
      <w:tr w:rsidR="00C6575E" w14:paraId="331406A0" w14:textId="77777777">
        <w:tc>
          <w:tcPr>
            <w:tcW w:w="1124" w:type="dxa"/>
          </w:tcPr>
          <w:p w14:paraId="5ECB38A9" w14:textId="77777777" w:rsidR="00C6575E" w:rsidRDefault="0052620E">
            <w:pPr>
              <w:rPr>
                <w:rFonts w:ascii="Calibri" w:eastAsia="Times New Roman" w:hAnsi="Calibri" w:cs="Times New Roman"/>
              </w:rPr>
            </w:pPr>
            <w:r>
              <w:rPr>
                <w:rFonts w:ascii="Calibri" w:eastAsia="Times New Roman" w:hAnsi="Calibri" w:cs="Times New Roman"/>
                <w:b/>
              </w:rPr>
              <w:t>6</w:t>
            </w:r>
          </w:p>
          <w:p w14:paraId="35498310" w14:textId="77777777" w:rsidR="00C6575E" w:rsidRDefault="00C6575E">
            <w:pPr>
              <w:rPr>
                <w:rFonts w:ascii="Calibri" w:eastAsia="Times New Roman" w:hAnsi="Calibri" w:cs="Times New Roman"/>
                <w:sz w:val="18"/>
                <w:szCs w:val="18"/>
              </w:rPr>
            </w:pPr>
          </w:p>
        </w:tc>
        <w:tc>
          <w:tcPr>
            <w:tcW w:w="7956" w:type="dxa"/>
          </w:tcPr>
          <w:p w14:paraId="6035C438" w14:textId="77777777" w:rsidR="00C6575E" w:rsidRDefault="0052620E">
            <w:pPr>
              <w:rPr>
                <w:rFonts w:ascii="Calibri" w:eastAsia="Times New Roman" w:hAnsi="Calibri" w:cs="Times New Roman"/>
              </w:rPr>
            </w:pPr>
            <w:r>
              <w:rPr>
                <w:rFonts w:ascii="Calibri" w:eastAsia="Times New Roman" w:hAnsi="Calibri" w:cs="Times New Roman"/>
                <w:b/>
              </w:rPr>
              <w:t>Controleprotocol 2025</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724"/>
            </w:tblGrid>
            <w:tr w:rsidR="00C6575E" w14:paraId="11829FE5" w14:textId="77777777">
              <w:trPr>
                <w:divId w:val="138899957"/>
                <w:tblHeader/>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B57628" w14:textId="77777777" w:rsidR="00C6575E" w:rsidRDefault="0052620E">
                  <w:pPr>
                    <w:jc w:val="center"/>
                    <w:rPr>
                      <w:rFonts w:ascii="Calibri" w:hAnsi="Calibri" w:cs="Calibri"/>
                      <w:b/>
                      <w:bCs/>
                    </w:rPr>
                  </w:pPr>
                  <w:r>
                    <w:rPr>
                      <w:rFonts w:ascii="Calibri" w:hAnsi="Calibri" w:cs="Calibri"/>
                      <w:b/>
                      <w:bCs/>
                    </w:rPr>
                    <w:t>Instemmen met het controleprotocol en daarmee met de ondergenoemde beslispunten.</w:t>
                  </w:r>
                </w:p>
              </w:tc>
            </w:tr>
          </w:tbl>
          <w:p w14:paraId="5B3CD2FB" w14:textId="77777777" w:rsidR="00C6575E" w:rsidRDefault="00C6575E">
            <w:pPr>
              <w:divId w:val="138899957"/>
            </w:pPr>
          </w:p>
          <w:p w14:paraId="4776C944" w14:textId="77777777" w:rsidR="00C6575E" w:rsidRDefault="00C6575E">
            <w:pPr>
              <w:rPr>
                <w:rFonts w:ascii="Calibri" w:eastAsia="Times New Roman" w:hAnsi="Calibri" w:cs="Times New Roman"/>
                <w:sz w:val="18"/>
                <w:szCs w:val="18"/>
              </w:rPr>
            </w:pPr>
          </w:p>
        </w:tc>
      </w:tr>
      <w:tr w:rsidR="00C6575E" w14:paraId="15FB2A71" w14:textId="77777777">
        <w:tc>
          <w:tcPr>
            <w:tcW w:w="1124" w:type="dxa"/>
          </w:tcPr>
          <w:p w14:paraId="224F088F" w14:textId="77777777" w:rsidR="00C6575E" w:rsidRDefault="0052620E">
            <w:pPr>
              <w:rPr>
                <w:rFonts w:ascii="Calibri" w:eastAsia="Times New Roman" w:hAnsi="Calibri" w:cs="Times New Roman"/>
              </w:rPr>
            </w:pPr>
            <w:r>
              <w:rPr>
                <w:rFonts w:ascii="Calibri" w:eastAsia="Times New Roman" w:hAnsi="Calibri" w:cs="Times New Roman"/>
                <w:b/>
              </w:rPr>
              <w:t>7</w:t>
            </w:r>
          </w:p>
          <w:p w14:paraId="4D082705" w14:textId="77777777" w:rsidR="00C6575E" w:rsidRDefault="00C6575E">
            <w:pPr>
              <w:rPr>
                <w:rFonts w:ascii="Calibri" w:eastAsia="Times New Roman" w:hAnsi="Calibri" w:cs="Times New Roman"/>
                <w:sz w:val="18"/>
                <w:szCs w:val="18"/>
              </w:rPr>
            </w:pPr>
          </w:p>
        </w:tc>
        <w:tc>
          <w:tcPr>
            <w:tcW w:w="7956" w:type="dxa"/>
          </w:tcPr>
          <w:p w14:paraId="4CCDD92F" w14:textId="77777777" w:rsidR="00C6575E" w:rsidRDefault="0052620E">
            <w:pPr>
              <w:rPr>
                <w:rFonts w:ascii="Calibri" w:eastAsia="Times New Roman" w:hAnsi="Calibri" w:cs="Times New Roman"/>
              </w:rPr>
            </w:pPr>
            <w:r>
              <w:rPr>
                <w:rFonts w:ascii="Calibri" w:eastAsia="Times New Roman" w:hAnsi="Calibri" w:cs="Times New Roman"/>
                <w:b/>
              </w:rPr>
              <w:t>Eind- en voortgangsrapportages Gebiedsopgave/Gebiedsagenda 2024  en Regio Deal</w:t>
            </w:r>
          </w:p>
          <w:p w14:paraId="1011CF45" w14:textId="77777777" w:rsidR="00C6575E" w:rsidRDefault="0052620E">
            <w:pPr>
              <w:divId w:val="1954722297"/>
            </w:pPr>
            <w:r>
              <w:rPr>
                <w:rFonts w:ascii="Calibri" w:hAnsi="Calibri" w:cs="Calibri"/>
              </w:rPr>
              <w:lastRenderedPageBreak/>
              <w:t xml:space="preserve">1. </w:t>
            </w:r>
            <w:r>
              <w:rPr>
                <w:rFonts w:ascii="Calibri" w:hAnsi="Calibri" w:cs="Calibri"/>
              </w:rPr>
              <w:t>Eindrapportage Gebiedsopgave (Bulk 2) en voortgangsrapportage Gebiedsagenda 2024 (Bulk 3) vaststellen en voor 1 oktober 2025 indienen bij provincie Gelderland.</w:t>
            </w:r>
            <w:r>
              <w:rPr>
                <w:rFonts w:ascii="Calibri" w:hAnsi="Calibri" w:cs="Calibri"/>
              </w:rPr>
              <w:br/>
              <w:t>2. Kennisnemen van het korte verslag uitvoering Regio Deal 2024. Deze wordt voor 15 juli toegezonden aan het ministerie van VRO.</w:t>
            </w:r>
          </w:p>
          <w:p w14:paraId="164952D3" w14:textId="77777777" w:rsidR="00C6575E" w:rsidRDefault="00C6575E">
            <w:pPr>
              <w:rPr>
                <w:rFonts w:ascii="Calibri" w:eastAsia="Times New Roman" w:hAnsi="Calibri" w:cs="Times New Roman"/>
                <w:sz w:val="18"/>
                <w:szCs w:val="18"/>
              </w:rPr>
            </w:pPr>
          </w:p>
        </w:tc>
      </w:tr>
      <w:tr w:rsidR="00C6575E" w14:paraId="233726B0" w14:textId="77777777">
        <w:tc>
          <w:tcPr>
            <w:tcW w:w="1124" w:type="dxa"/>
          </w:tcPr>
          <w:p w14:paraId="5F97F6F5" w14:textId="77777777" w:rsidR="00C6575E" w:rsidRDefault="0052620E">
            <w:pPr>
              <w:rPr>
                <w:rFonts w:ascii="Calibri" w:eastAsia="Times New Roman" w:hAnsi="Calibri" w:cs="Times New Roman"/>
              </w:rPr>
            </w:pPr>
            <w:r>
              <w:rPr>
                <w:rFonts w:ascii="Calibri" w:eastAsia="Times New Roman" w:hAnsi="Calibri" w:cs="Times New Roman"/>
                <w:b/>
              </w:rPr>
              <w:lastRenderedPageBreak/>
              <w:t>8</w:t>
            </w:r>
          </w:p>
          <w:p w14:paraId="63EA00E6" w14:textId="77777777" w:rsidR="00C6575E" w:rsidRDefault="00C6575E">
            <w:pPr>
              <w:rPr>
                <w:rFonts w:ascii="Calibri" w:eastAsia="Times New Roman" w:hAnsi="Calibri" w:cs="Times New Roman"/>
                <w:sz w:val="18"/>
                <w:szCs w:val="18"/>
              </w:rPr>
            </w:pPr>
          </w:p>
        </w:tc>
        <w:tc>
          <w:tcPr>
            <w:tcW w:w="7956" w:type="dxa"/>
          </w:tcPr>
          <w:p w14:paraId="233166FA" w14:textId="77777777" w:rsidR="00C6575E" w:rsidRDefault="0052620E">
            <w:pPr>
              <w:rPr>
                <w:rFonts w:ascii="Calibri" w:eastAsia="Times New Roman" w:hAnsi="Calibri" w:cs="Times New Roman"/>
              </w:rPr>
            </w:pPr>
            <w:r>
              <w:rPr>
                <w:rFonts w:ascii="Calibri" w:eastAsia="Times New Roman" w:hAnsi="Calibri" w:cs="Times New Roman"/>
                <w:b/>
              </w:rPr>
              <w:t>Stand van zaken inhoudelijke agenda (mondeling)</w:t>
            </w:r>
          </w:p>
          <w:p w14:paraId="39483C1E" w14:textId="77777777" w:rsidR="00C6575E" w:rsidRDefault="00C6575E">
            <w:pPr>
              <w:rPr>
                <w:rFonts w:ascii="Calibri" w:eastAsia="Times New Roman" w:hAnsi="Calibri" w:cs="Times New Roman"/>
                <w:sz w:val="18"/>
                <w:szCs w:val="18"/>
              </w:rPr>
            </w:pPr>
          </w:p>
        </w:tc>
      </w:tr>
      <w:tr w:rsidR="00C6575E" w14:paraId="78E8867F" w14:textId="77777777">
        <w:tc>
          <w:tcPr>
            <w:tcW w:w="1124" w:type="dxa"/>
          </w:tcPr>
          <w:p w14:paraId="15D3F4F9" w14:textId="77777777" w:rsidR="00C6575E" w:rsidRDefault="0052620E">
            <w:pPr>
              <w:rPr>
                <w:rFonts w:ascii="Calibri" w:eastAsia="Times New Roman" w:hAnsi="Calibri" w:cs="Times New Roman"/>
              </w:rPr>
            </w:pPr>
            <w:r>
              <w:rPr>
                <w:rFonts w:ascii="Calibri" w:eastAsia="Times New Roman" w:hAnsi="Calibri" w:cs="Times New Roman"/>
                <w:b/>
              </w:rPr>
              <w:t>9</w:t>
            </w:r>
          </w:p>
          <w:p w14:paraId="7F69AF6C" w14:textId="77777777" w:rsidR="00C6575E" w:rsidRDefault="00C6575E">
            <w:pPr>
              <w:rPr>
                <w:rFonts w:ascii="Calibri" w:eastAsia="Times New Roman" w:hAnsi="Calibri" w:cs="Times New Roman"/>
                <w:sz w:val="18"/>
                <w:szCs w:val="18"/>
              </w:rPr>
            </w:pPr>
          </w:p>
        </w:tc>
        <w:tc>
          <w:tcPr>
            <w:tcW w:w="7956" w:type="dxa"/>
          </w:tcPr>
          <w:p w14:paraId="147BC091" w14:textId="77777777" w:rsidR="00C6575E" w:rsidRDefault="0052620E">
            <w:pPr>
              <w:rPr>
                <w:rFonts w:ascii="Calibri" w:eastAsia="Times New Roman" w:hAnsi="Calibri" w:cs="Times New Roman"/>
              </w:rPr>
            </w:pPr>
            <w:r>
              <w:rPr>
                <w:rFonts w:ascii="Calibri" w:eastAsia="Times New Roman" w:hAnsi="Calibri" w:cs="Times New Roman"/>
                <w:b/>
              </w:rPr>
              <w:t>Verslag van de vergadering van 28 mei 2025</w:t>
            </w:r>
          </w:p>
          <w:p w14:paraId="6A9737BD" w14:textId="77777777" w:rsidR="00C6575E" w:rsidRDefault="0052620E">
            <w:pPr>
              <w:divId w:val="1218334620"/>
            </w:pPr>
            <w:r>
              <w:rPr>
                <w:rFonts w:ascii="Calibri" w:hAnsi="Calibri" w:cs="Calibri"/>
              </w:rPr>
              <w:t>Vaststellen van het verslag.</w:t>
            </w:r>
          </w:p>
          <w:p w14:paraId="46424F49" w14:textId="77777777" w:rsidR="00C6575E" w:rsidRDefault="00C6575E">
            <w:pPr>
              <w:rPr>
                <w:rFonts w:ascii="Calibri" w:eastAsia="Times New Roman" w:hAnsi="Calibri" w:cs="Times New Roman"/>
                <w:sz w:val="18"/>
                <w:szCs w:val="18"/>
              </w:rPr>
            </w:pPr>
          </w:p>
        </w:tc>
      </w:tr>
      <w:tr w:rsidR="00C6575E" w14:paraId="79119913" w14:textId="77777777">
        <w:tc>
          <w:tcPr>
            <w:tcW w:w="1124" w:type="dxa"/>
          </w:tcPr>
          <w:p w14:paraId="0B7CB452" w14:textId="77777777" w:rsidR="00C6575E" w:rsidRDefault="0052620E">
            <w:pPr>
              <w:rPr>
                <w:rFonts w:ascii="Calibri" w:eastAsia="Times New Roman" w:hAnsi="Calibri" w:cs="Times New Roman"/>
              </w:rPr>
            </w:pPr>
            <w:r>
              <w:rPr>
                <w:rFonts w:ascii="Calibri" w:eastAsia="Times New Roman" w:hAnsi="Calibri" w:cs="Times New Roman"/>
                <w:b/>
              </w:rPr>
              <w:t>10</w:t>
            </w:r>
          </w:p>
          <w:p w14:paraId="4A1E5CC5" w14:textId="77777777" w:rsidR="00C6575E" w:rsidRDefault="00C6575E">
            <w:pPr>
              <w:rPr>
                <w:rFonts w:ascii="Calibri" w:eastAsia="Times New Roman" w:hAnsi="Calibri" w:cs="Times New Roman"/>
                <w:sz w:val="18"/>
                <w:szCs w:val="18"/>
              </w:rPr>
            </w:pPr>
          </w:p>
        </w:tc>
        <w:tc>
          <w:tcPr>
            <w:tcW w:w="7956" w:type="dxa"/>
          </w:tcPr>
          <w:p w14:paraId="09D9C723" w14:textId="77777777" w:rsidR="00C6575E" w:rsidRDefault="0052620E">
            <w:pPr>
              <w:rPr>
                <w:rFonts w:ascii="Calibri" w:eastAsia="Times New Roman" w:hAnsi="Calibri" w:cs="Times New Roman"/>
              </w:rPr>
            </w:pPr>
            <w:r>
              <w:rPr>
                <w:rFonts w:ascii="Calibri" w:eastAsia="Times New Roman" w:hAnsi="Calibri" w:cs="Times New Roman"/>
                <w:b/>
              </w:rPr>
              <w:t>Rondvraag en belangrijke data</w:t>
            </w:r>
          </w:p>
          <w:p w14:paraId="02B94DD4" w14:textId="77777777" w:rsidR="00C6575E" w:rsidRDefault="0052620E">
            <w:pPr>
              <w:divId w:val="887632180"/>
            </w:pPr>
            <w:r>
              <w:rPr>
                <w:rFonts w:ascii="Calibri" w:hAnsi="Calibri" w:cs="Calibri"/>
              </w:rPr>
              <w:t xml:space="preserve">4 juli: werkbezoek K. van den Burg (DG I&amp;W) ihkv het </w:t>
            </w:r>
            <w:r>
              <w:rPr>
                <w:rFonts w:ascii="Calibri" w:hAnsi="Calibri" w:cs="Calibri"/>
              </w:rPr>
              <w:t>NPVR</w:t>
            </w:r>
            <w:r>
              <w:rPr>
                <w:rFonts w:ascii="Calibri" w:hAnsi="Calibri" w:cs="Calibri"/>
              </w:rPr>
              <w:br/>
            </w:r>
            <w:r>
              <w:rPr>
                <w:rFonts w:ascii="Calibri" w:hAnsi="Calibri" w:cs="Calibri"/>
              </w:rPr>
              <w:br/>
              <w:t>8 juli: Werkbezoek TK-leden aan Zutphen (doorkoppeling W’wijk-A’doorn, Gelderse Zomerweek ism provincie en Stedendriehoek)</w:t>
            </w:r>
            <w:r>
              <w:rPr>
                <w:rFonts w:ascii="Calibri" w:hAnsi="Calibri" w:cs="Calibri"/>
              </w:rPr>
              <w:br/>
              <w:t>10 juli: Werkbezoek TK-leden aan Lochem/Borculo (arbeidsmarktkrapte, Gelderse Zomerweek ism provincie en Stedendriehoek))</w:t>
            </w:r>
            <w:r>
              <w:rPr>
                <w:rFonts w:ascii="Calibri" w:hAnsi="Calibri" w:cs="Calibri"/>
              </w:rPr>
              <w:br/>
            </w:r>
            <w:r>
              <w:rPr>
                <w:rFonts w:ascii="Calibri" w:hAnsi="Calibri" w:cs="Calibri"/>
              </w:rPr>
              <w:br/>
              <w:t>13-15 oktober: EWRC Brussel</w:t>
            </w:r>
          </w:p>
          <w:p w14:paraId="19EB75C4" w14:textId="77777777" w:rsidR="00C6575E" w:rsidRDefault="00C6575E">
            <w:pPr>
              <w:rPr>
                <w:rFonts w:ascii="Calibri" w:eastAsia="Times New Roman" w:hAnsi="Calibri" w:cs="Times New Roman"/>
                <w:sz w:val="18"/>
                <w:szCs w:val="18"/>
              </w:rPr>
            </w:pPr>
          </w:p>
        </w:tc>
      </w:tr>
    </w:tbl>
    <w:p w14:paraId="332A5993" w14:textId="77777777" w:rsidR="00C6575E" w:rsidRDefault="00C6575E"/>
    <w:sectPr w:rsidR="00C6575E" w:rsidSect="00C349B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BBB5B" w14:textId="77777777" w:rsidR="0052620E" w:rsidRDefault="0052620E">
      <w:pPr>
        <w:spacing w:after="0" w:line="240" w:lineRule="auto"/>
      </w:pPr>
      <w:r>
        <w:separator/>
      </w:r>
    </w:p>
  </w:endnote>
  <w:endnote w:type="continuationSeparator" w:id="0">
    <w:p w14:paraId="33465B18" w14:textId="77777777" w:rsidR="0052620E" w:rsidRDefault="0052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CF749" w14:textId="77777777" w:rsidR="007B6497" w:rsidRDefault="0052620E" w:rsidP="007B6497">
    <w:pPr>
      <w:pStyle w:val="Koptekst"/>
      <w:jc w:val="right"/>
    </w:pPr>
    <w:r>
      <w:t xml:space="preserve">Pagina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2DB7679D" w14:textId="77777777" w:rsidR="007B6497" w:rsidRDefault="007B64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978E6" w14:textId="77777777" w:rsidR="0052620E" w:rsidRDefault="0052620E">
      <w:pPr>
        <w:spacing w:after="0" w:line="240" w:lineRule="auto"/>
      </w:pPr>
      <w:r>
        <w:separator/>
      </w:r>
    </w:p>
  </w:footnote>
  <w:footnote w:type="continuationSeparator" w:id="0">
    <w:p w14:paraId="3C4ADCEA" w14:textId="77777777" w:rsidR="0052620E" w:rsidRDefault="0052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5DDB" w14:textId="77777777" w:rsidR="00C6575E" w:rsidRDefault="0052620E">
    <w:r>
      <w:rPr>
        <w:noProof/>
      </w:rPr>
      <w:drawing>
        <wp:inline distT="0" distB="0" distL="0" distR="0" wp14:anchorId="386E55E6" wp14:editId="7BE23550">
          <wp:extent cx="2314575" cy="952499"/>
          <wp:effectExtent l="0" t="0" r="0" b="254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png"/>
                  <pic:cNvPicPr/>
                </pic:nvPicPr>
                <pic:blipFill>
                  <a:blip r:embed="rId1" cstate="print"/>
                  <a:stretch>
                    <a:fillRect/>
                  </a:stretch>
                </pic:blipFill>
                <pic:spPr>
                  <a:xfrm>
                    <a:off x="0" y="0"/>
                    <a:ext cx="2314575" cy="9524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297B37"/>
    <w:rsid w:val="00330932"/>
    <w:rsid w:val="0052620E"/>
    <w:rsid w:val="007B6497"/>
    <w:rsid w:val="00916184"/>
    <w:rsid w:val="00C6575E"/>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6F9D45"/>
  <w15:chartTrackingRefBased/>
  <w15:docId w15:val="{8D392AA7-2176-4D6F-9FE9-CA8C41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pPr>
      <w:spacing w:after="40" w:line="259" w:lineRule="auto"/>
    </w:pPr>
    <w:rPr>
      <w:sz w:val="22"/>
      <w:szCs w:val="22"/>
    </w:rPr>
  </w:style>
  <w:style w:type="paragraph" w:styleId="Kop1">
    <w:name w:val="heading 1"/>
    <w:basedOn w:val="Standaard"/>
    <w:next w:val="Standaard"/>
    <w:link w:val="Kop1Char"/>
    <w:uiPriority w:val="9"/>
    <w:qFormat/>
    <w:rsid w:val="00E3611B"/>
    <w:pPr>
      <w:keepNext/>
      <w:keepLines/>
      <w:spacing w:before="240" w:after="0"/>
      <w:outlineLvl w:val="0"/>
    </w:pPr>
    <w:rPr>
      <w:rFonts w:ascii="Calibri" w:eastAsia="Times New Roman" w:hAnsi="Calibri"/>
      <w:color w:val="2E74B5"/>
      <w:sz w:val="28"/>
      <w:szCs w:val="28"/>
    </w:rPr>
  </w:style>
  <w:style w:type="paragraph" w:styleId="Kop2">
    <w:name w:val="heading 2"/>
    <w:basedOn w:val="Standaard"/>
    <w:next w:val="Standaard"/>
    <w:link w:val="Kop2Char"/>
    <w:uiPriority w:val="9"/>
    <w:qFormat/>
    <w:rsid w:val="006F6838"/>
    <w:pPr>
      <w:keepNext/>
      <w:keepLines/>
      <w:spacing w:before="40" w:after="0"/>
      <w:outlineLvl w:val="1"/>
    </w:pPr>
    <w:rPr>
      <w:rFonts w:ascii="Calibri" w:eastAsia="Times New Roman" w:hAnsi="Calibri"/>
      <w:color w:val="2E74B5"/>
      <w:sz w:val="26"/>
      <w:szCs w:val="26"/>
    </w:rPr>
  </w:style>
  <w:style w:type="paragraph" w:styleId="Kop3">
    <w:name w:val="heading 3"/>
    <w:basedOn w:val="Standaard"/>
    <w:next w:val="Standaard"/>
    <w:link w:val="Kop3Char"/>
    <w:uiPriority w:val="9"/>
    <w:qFormat/>
    <w:rsid w:val="00234347"/>
    <w:pPr>
      <w:keepNext/>
      <w:keepLines/>
      <w:spacing w:before="120" w:after="0"/>
      <w:outlineLvl w:val="2"/>
    </w:pPr>
    <w:rPr>
      <w:rFonts w:ascii="Calibri" w:eastAsia="Times New Roman" w:hAnsi="Calibri"/>
      <w:color w:val="2E74B5"/>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11B"/>
    <w:rPr>
      <w:rFonts w:ascii="Calibri" w:eastAsia="Times New Roman" w:hAnsi="Calibri" w:cs="Times New Roman"/>
      <w:color w:val="2E74B5"/>
      <w:sz w:val="28"/>
      <w:szCs w:val="28"/>
    </w:rPr>
  </w:style>
  <w:style w:type="paragraph" w:styleId="Titel">
    <w:name w:val="Title"/>
    <w:basedOn w:val="Standaard"/>
    <w:next w:val="Standaard"/>
    <w:link w:val="TitelChar"/>
    <w:uiPriority w:val="10"/>
    <w:qFormat/>
    <w:rsid w:val="00E3611B"/>
    <w:pPr>
      <w:spacing w:after="0" w:line="240" w:lineRule="auto"/>
      <w:contextualSpacing/>
    </w:pPr>
    <w:rPr>
      <w:rFonts w:ascii="Calibri" w:eastAsia="Times New Roman" w:hAnsi="Calibri"/>
      <w:spacing w:val="-10"/>
      <w:kern w:val="28"/>
      <w:sz w:val="56"/>
      <w:szCs w:val="56"/>
    </w:rPr>
  </w:style>
  <w:style w:type="character" w:customStyle="1" w:styleId="TitelChar">
    <w:name w:val="Titel Char"/>
    <w:basedOn w:val="Standaardalinea-lettertype"/>
    <w:link w:val="Titel"/>
    <w:uiPriority w:val="10"/>
    <w:rsid w:val="00E3611B"/>
    <w:rPr>
      <w:rFonts w:ascii="Calibri" w:eastAsia="Times New Roman" w:hAnsi="Calibri" w:cs="Times New Roman"/>
      <w:spacing w:val="-10"/>
      <w:kern w:val="28"/>
      <w:sz w:val="56"/>
      <w:szCs w:val="56"/>
    </w:rPr>
  </w:style>
  <w:style w:type="table" w:styleId="Tabelraster">
    <w:name w:val="Table Grid"/>
    <w:basedOn w:val="Standaardtabel"/>
    <w:uiPriority w:val="39"/>
    <w:rsid w:val="00BB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8645D"/>
    <w:rPr>
      <w:sz w:val="22"/>
      <w:szCs w:val="22"/>
    </w:rPr>
  </w:style>
  <w:style w:type="paragraph" w:styleId="Koptekst">
    <w:name w:val="header"/>
    <w:basedOn w:val="Standaard"/>
    <w:link w:val="KoptekstChar"/>
    <w:uiPriority w:val="99"/>
    <w:unhideWhenUsed/>
    <w:rsid w:val="002178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781A"/>
  </w:style>
  <w:style w:type="paragraph" w:styleId="Voettekst">
    <w:name w:val="footer"/>
    <w:basedOn w:val="Standaard"/>
    <w:link w:val="VoettekstChar"/>
    <w:uiPriority w:val="99"/>
    <w:unhideWhenUsed/>
    <w:rsid w:val="002178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781A"/>
  </w:style>
  <w:style w:type="character" w:customStyle="1" w:styleId="Kop2Char">
    <w:name w:val="Kop 2 Char"/>
    <w:basedOn w:val="Standaardalinea-lettertype"/>
    <w:link w:val="Kop2"/>
    <w:uiPriority w:val="9"/>
    <w:rsid w:val="006F6838"/>
    <w:rPr>
      <w:rFonts w:ascii="Calibri" w:eastAsia="Times New Roman" w:hAnsi="Calibri" w:cs="Times New Roman"/>
      <w:color w:val="2E74B5"/>
      <w:sz w:val="26"/>
      <w:szCs w:val="26"/>
    </w:rPr>
  </w:style>
  <w:style w:type="character" w:customStyle="1" w:styleId="Kop3Char">
    <w:name w:val="Kop 3 Char"/>
    <w:basedOn w:val="Standaardalinea-lettertype"/>
    <w:link w:val="Kop3"/>
    <w:uiPriority w:val="9"/>
    <w:rsid w:val="00234347"/>
    <w:rPr>
      <w:rFonts w:ascii="Calibri" w:eastAsia="Times New Roman" w:hAnsi="Calibri" w:cs="Times New Roman"/>
      <w:color w:val="2E74B5"/>
      <w:sz w:val="24"/>
      <w:szCs w:val="24"/>
    </w:rPr>
  </w:style>
  <w:style w:type="table" w:customStyle="1" w:styleId="Tabelraster1">
    <w:name w:val="Tabelraster1"/>
    <w:basedOn w:val="Standaardtabel"/>
    <w:next w:val="Tabelraster"/>
    <w:uiPriority w:val="39"/>
    <w:rsid w:val="0050792F"/>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506D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99957">
      <w:bodyDiv w:val="1"/>
      <w:marLeft w:val="0"/>
      <w:marRight w:val="0"/>
      <w:marTop w:val="0"/>
      <w:marBottom w:val="0"/>
      <w:divBdr>
        <w:top w:val="none" w:sz="0" w:space="0" w:color="auto"/>
        <w:left w:val="none" w:sz="0" w:space="0" w:color="auto"/>
        <w:bottom w:val="none" w:sz="0" w:space="0" w:color="auto"/>
        <w:right w:val="none" w:sz="0" w:space="0" w:color="auto"/>
      </w:divBdr>
    </w:div>
    <w:div w:id="149473345">
      <w:bodyDiv w:val="1"/>
      <w:marLeft w:val="0"/>
      <w:marRight w:val="0"/>
      <w:marTop w:val="0"/>
      <w:marBottom w:val="0"/>
      <w:divBdr>
        <w:top w:val="none" w:sz="0" w:space="0" w:color="auto"/>
        <w:left w:val="none" w:sz="0" w:space="0" w:color="auto"/>
        <w:bottom w:val="none" w:sz="0" w:space="0" w:color="auto"/>
        <w:right w:val="none" w:sz="0" w:space="0" w:color="auto"/>
      </w:divBdr>
    </w:div>
    <w:div w:id="430918763">
      <w:bodyDiv w:val="1"/>
      <w:marLeft w:val="0"/>
      <w:marRight w:val="0"/>
      <w:marTop w:val="0"/>
      <w:marBottom w:val="0"/>
      <w:divBdr>
        <w:top w:val="none" w:sz="0" w:space="0" w:color="auto"/>
        <w:left w:val="none" w:sz="0" w:space="0" w:color="auto"/>
        <w:bottom w:val="none" w:sz="0" w:space="0" w:color="auto"/>
        <w:right w:val="none" w:sz="0" w:space="0" w:color="auto"/>
      </w:divBdr>
    </w:div>
    <w:div w:id="887632180">
      <w:bodyDiv w:val="1"/>
      <w:marLeft w:val="0"/>
      <w:marRight w:val="0"/>
      <w:marTop w:val="0"/>
      <w:marBottom w:val="0"/>
      <w:divBdr>
        <w:top w:val="none" w:sz="0" w:space="0" w:color="auto"/>
        <w:left w:val="none" w:sz="0" w:space="0" w:color="auto"/>
        <w:bottom w:val="none" w:sz="0" w:space="0" w:color="auto"/>
        <w:right w:val="none" w:sz="0" w:space="0" w:color="auto"/>
      </w:divBdr>
    </w:div>
    <w:div w:id="1218334620">
      <w:bodyDiv w:val="1"/>
      <w:marLeft w:val="0"/>
      <w:marRight w:val="0"/>
      <w:marTop w:val="0"/>
      <w:marBottom w:val="0"/>
      <w:divBdr>
        <w:top w:val="none" w:sz="0" w:space="0" w:color="auto"/>
        <w:left w:val="none" w:sz="0" w:space="0" w:color="auto"/>
        <w:bottom w:val="none" w:sz="0" w:space="0" w:color="auto"/>
        <w:right w:val="none" w:sz="0" w:space="0" w:color="auto"/>
      </w:divBdr>
    </w:div>
    <w:div w:id="1580534509">
      <w:bodyDiv w:val="1"/>
      <w:marLeft w:val="0"/>
      <w:marRight w:val="0"/>
      <w:marTop w:val="0"/>
      <w:marBottom w:val="0"/>
      <w:divBdr>
        <w:top w:val="none" w:sz="0" w:space="0" w:color="auto"/>
        <w:left w:val="none" w:sz="0" w:space="0" w:color="auto"/>
        <w:bottom w:val="none" w:sz="0" w:space="0" w:color="auto"/>
        <w:right w:val="none" w:sz="0" w:space="0" w:color="auto"/>
      </w:divBdr>
    </w:div>
    <w:div w:id="1751637753">
      <w:bodyDiv w:val="1"/>
      <w:marLeft w:val="0"/>
      <w:marRight w:val="0"/>
      <w:marTop w:val="0"/>
      <w:marBottom w:val="0"/>
      <w:divBdr>
        <w:top w:val="none" w:sz="0" w:space="0" w:color="auto"/>
        <w:left w:val="none" w:sz="0" w:space="0" w:color="auto"/>
        <w:bottom w:val="none" w:sz="0" w:space="0" w:color="auto"/>
        <w:right w:val="none" w:sz="0" w:space="0" w:color="auto"/>
      </w:divBdr>
    </w:div>
    <w:div w:id="1768420625">
      <w:bodyDiv w:val="1"/>
      <w:marLeft w:val="0"/>
      <w:marRight w:val="0"/>
      <w:marTop w:val="0"/>
      <w:marBottom w:val="0"/>
      <w:divBdr>
        <w:top w:val="none" w:sz="0" w:space="0" w:color="auto"/>
        <w:left w:val="none" w:sz="0" w:space="0" w:color="auto"/>
        <w:bottom w:val="none" w:sz="0" w:space="0" w:color="auto"/>
        <w:right w:val="none" w:sz="0" w:space="0" w:color="auto"/>
      </w:divBdr>
    </w:div>
    <w:div w:id="19547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Calibri"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F5D7-8F47-44AC-A324-DA5EABB8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2118</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regioachterhoek</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Algemeen Bestuur 2 juli 2025</dc:title>
  <dc:creator>iBabs</dc:creator>
  <cp:lastModifiedBy>Stortelder, Wilma</cp:lastModifiedBy>
  <cp:revision>2</cp:revision>
  <dcterms:created xsi:type="dcterms:W3CDTF">2025-06-19T08:00:00Z</dcterms:created>
  <dcterms:modified xsi:type="dcterms:W3CDTF">2025-06-19T08:00:00Z</dcterms:modified>
</cp:coreProperties>
</file>